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7533"/>
      </w:tblGrid>
      <w:tr w:rsidR="00586F3F" w:rsidRPr="00586F3F" w14:paraId="669971A2" w14:textId="77777777" w:rsidTr="006973ED">
        <w:tc>
          <w:tcPr>
            <w:tcW w:w="1908" w:type="dxa"/>
          </w:tcPr>
          <w:p w14:paraId="7E2688E2" w14:textId="77777777" w:rsidR="00586F3F" w:rsidRPr="00586F3F" w:rsidRDefault="00586F3F" w:rsidP="006973ED">
            <w:pPr>
              <w:tabs>
                <w:tab w:val="left" w:pos="1530"/>
              </w:tabs>
              <w:spacing w:before="12" w:line="271" w:lineRule="auto"/>
              <w:ind w:right="165"/>
              <w:rPr>
                <w:color w:val="002060"/>
                <w:w w:val="105"/>
                <w:sz w:val="24"/>
              </w:rPr>
            </w:pPr>
            <w:r w:rsidRPr="00586F3F">
              <w:rPr>
                <w:color w:val="002060"/>
                <w:w w:val="105"/>
                <w:sz w:val="24"/>
              </w:rPr>
              <w:t>Intended audience</w:t>
            </w:r>
          </w:p>
        </w:tc>
        <w:tc>
          <w:tcPr>
            <w:tcW w:w="9348" w:type="dxa"/>
          </w:tcPr>
          <w:p w14:paraId="275E4568" w14:textId="77777777" w:rsidR="00586F3F" w:rsidRPr="00586F3F" w:rsidRDefault="00586F3F" w:rsidP="006973ED">
            <w:pPr>
              <w:spacing w:before="12" w:line="271" w:lineRule="auto"/>
              <w:rPr>
                <w:color w:val="002060"/>
                <w:w w:val="105"/>
                <w:sz w:val="24"/>
              </w:rPr>
            </w:pPr>
            <w:r w:rsidRPr="00586F3F">
              <w:rPr>
                <w:color w:val="002060"/>
                <w:w w:val="105"/>
                <w:sz w:val="24"/>
              </w:rPr>
              <w:t>This event was designed specifically for pharmacists, pharmacy technicians, a</w:t>
            </w:r>
            <w:bookmarkStart w:id="0" w:name="_GoBack"/>
            <w:bookmarkEnd w:id="0"/>
            <w:r w:rsidRPr="00586F3F">
              <w:rPr>
                <w:color w:val="002060"/>
                <w:w w:val="105"/>
                <w:sz w:val="24"/>
              </w:rPr>
              <w:t>nd pharmacy students</w:t>
            </w:r>
          </w:p>
        </w:tc>
      </w:tr>
      <w:tr w:rsidR="00586F3F" w:rsidRPr="00586F3F" w14:paraId="27174E27" w14:textId="77777777" w:rsidTr="006973ED">
        <w:tc>
          <w:tcPr>
            <w:tcW w:w="1908" w:type="dxa"/>
          </w:tcPr>
          <w:p w14:paraId="27A93F4D" w14:textId="77777777" w:rsidR="00586F3F" w:rsidRPr="00586F3F" w:rsidRDefault="00586F3F" w:rsidP="006973ED">
            <w:pPr>
              <w:tabs>
                <w:tab w:val="left" w:pos="1530"/>
              </w:tabs>
              <w:spacing w:before="12" w:line="271" w:lineRule="auto"/>
              <w:ind w:right="165"/>
              <w:rPr>
                <w:color w:val="002060"/>
                <w:w w:val="105"/>
                <w:sz w:val="24"/>
              </w:rPr>
            </w:pPr>
          </w:p>
        </w:tc>
        <w:tc>
          <w:tcPr>
            <w:tcW w:w="9348" w:type="dxa"/>
          </w:tcPr>
          <w:p w14:paraId="22EE3295" w14:textId="77777777" w:rsidR="00586F3F" w:rsidRPr="00586F3F" w:rsidRDefault="00586F3F" w:rsidP="006973ED">
            <w:pPr>
              <w:spacing w:before="12" w:line="271" w:lineRule="auto"/>
              <w:rPr>
                <w:color w:val="002060"/>
                <w:w w:val="105"/>
                <w:sz w:val="24"/>
              </w:rPr>
            </w:pPr>
          </w:p>
        </w:tc>
      </w:tr>
      <w:tr w:rsidR="00586F3F" w:rsidRPr="00586F3F" w14:paraId="47B6A8E2" w14:textId="77777777" w:rsidTr="006973ED">
        <w:tc>
          <w:tcPr>
            <w:tcW w:w="1908" w:type="dxa"/>
          </w:tcPr>
          <w:p w14:paraId="441E07B5" w14:textId="77777777" w:rsidR="00586F3F" w:rsidRPr="00586F3F" w:rsidRDefault="00586F3F" w:rsidP="006973ED">
            <w:pPr>
              <w:tabs>
                <w:tab w:val="left" w:pos="1530"/>
              </w:tabs>
              <w:spacing w:before="12" w:line="271" w:lineRule="auto"/>
              <w:ind w:right="165"/>
              <w:rPr>
                <w:color w:val="002060"/>
                <w:w w:val="105"/>
                <w:sz w:val="24"/>
              </w:rPr>
            </w:pPr>
            <w:r w:rsidRPr="00586F3F">
              <w:rPr>
                <w:color w:val="002060"/>
                <w:w w:val="105"/>
                <w:sz w:val="24"/>
              </w:rPr>
              <w:t>Educational goal</w:t>
            </w:r>
          </w:p>
        </w:tc>
        <w:tc>
          <w:tcPr>
            <w:tcW w:w="9348" w:type="dxa"/>
          </w:tcPr>
          <w:p w14:paraId="4F1A86EA" w14:textId="77777777" w:rsidR="00586F3F" w:rsidRPr="00586F3F" w:rsidRDefault="00586F3F" w:rsidP="006973ED">
            <w:pPr>
              <w:spacing w:before="12" w:line="271" w:lineRule="auto"/>
              <w:rPr>
                <w:color w:val="002060"/>
                <w:w w:val="105"/>
                <w:sz w:val="24"/>
              </w:rPr>
            </w:pPr>
            <w:r w:rsidRPr="00586F3F">
              <w:rPr>
                <w:color w:val="002060"/>
                <w:w w:val="105"/>
                <w:sz w:val="24"/>
              </w:rPr>
              <w:t>The overall educational goal of this seminar is to provide information and instruction on a variety of topics to enable the pharmacy practitioner to provide quality patient care. The participants may obtain a total of six (6) continuing education hours (0.6 CEUs)</w:t>
            </w:r>
          </w:p>
        </w:tc>
      </w:tr>
      <w:tr w:rsidR="00586F3F" w:rsidRPr="00586F3F" w14:paraId="4CCDCB3B" w14:textId="77777777" w:rsidTr="006973ED">
        <w:tc>
          <w:tcPr>
            <w:tcW w:w="1908" w:type="dxa"/>
          </w:tcPr>
          <w:p w14:paraId="4579B2D4" w14:textId="77777777" w:rsidR="00586F3F" w:rsidRPr="00586F3F" w:rsidRDefault="00586F3F" w:rsidP="006973ED">
            <w:pPr>
              <w:tabs>
                <w:tab w:val="left" w:pos="1530"/>
              </w:tabs>
              <w:spacing w:before="12" w:line="271" w:lineRule="auto"/>
              <w:ind w:right="165"/>
              <w:rPr>
                <w:color w:val="002060"/>
                <w:w w:val="105"/>
                <w:sz w:val="24"/>
              </w:rPr>
            </w:pPr>
          </w:p>
        </w:tc>
        <w:tc>
          <w:tcPr>
            <w:tcW w:w="9348" w:type="dxa"/>
          </w:tcPr>
          <w:p w14:paraId="68CE48DA" w14:textId="77777777" w:rsidR="00586F3F" w:rsidRPr="00586F3F" w:rsidRDefault="00586F3F" w:rsidP="006973ED">
            <w:pPr>
              <w:spacing w:before="12" w:line="271" w:lineRule="auto"/>
              <w:rPr>
                <w:color w:val="002060"/>
                <w:w w:val="105"/>
                <w:sz w:val="24"/>
              </w:rPr>
            </w:pPr>
          </w:p>
        </w:tc>
      </w:tr>
      <w:tr w:rsidR="00586F3F" w:rsidRPr="00586F3F" w14:paraId="2DDE7EB0" w14:textId="77777777" w:rsidTr="006973ED">
        <w:tc>
          <w:tcPr>
            <w:tcW w:w="1908" w:type="dxa"/>
          </w:tcPr>
          <w:p w14:paraId="0DFA6FD4" w14:textId="77777777" w:rsidR="00586F3F" w:rsidRPr="00586F3F" w:rsidRDefault="00586F3F" w:rsidP="006973ED">
            <w:pPr>
              <w:tabs>
                <w:tab w:val="left" w:pos="1530"/>
              </w:tabs>
              <w:spacing w:before="12" w:line="271" w:lineRule="auto"/>
              <w:ind w:right="165"/>
              <w:rPr>
                <w:color w:val="002060"/>
                <w:w w:val="105"/>
                <w:sz w:val="24"/>
              </w:rPr>
            </w:pPr>
            <w:r w:rsidRPr="00586F3F">
              <w:rPr>
                <w:color w:val="002060"/>
                <w:w w:val="105"/>
                <w:sz w:val="24"/>
              </w:rPr>
              <w:t>CPE Credit Information</w:t>
            </w:r>
          </w:p>
          <w:p w14:paraId="5BA0BFE0" w14:textId="77777777" w:rsidR="00586F3F" w:rsidRPr="00586F3F" w:rsidRDefault="00586F3F" w:rsidP="006973ED">
            <w:pPr>
              <w:tabs>
                <w:tab w:val="left" w:pos="1530"/>
              </w:tabs>
              <w:spacing w:before="12" w:line="271" w:lineRule="auto"/>
              <w:ind w:right="165"/>
              <w:rPr>
                <w:color w:val="002060"/>
                <w:w w:val="105"/>
                <w:sz w:val="24"/>
              </w:rPr>
            </w:pPr>
          </w:p>
          <w:p w14:paraId="40EDE67E" w14:textId="77777777" w:rsidR="00586F3F" w:rsidRPr="00586F3F" w:rsidRDefault="00586F3F" w:rsidP="006973ED">
            <w:pPr>
              <w:tabs>
                <w:tab w:val="left" w:pos="1530"/>
              </w:tabs>
              <w:spacing w:before="12" w:line="271" w:lineRule="auto"/>
              <w:ind w:right="165"/>
              <w:rPr>
                <w:color w:val="002060"/>
                <w:w w:val="105"/>
                <w:sz w:val="24"/>
              </w:rPr>
            </w:pPr>
          </w:p>
          <w:p w14:paraId="01B03BC1" w14:textId="77777777" w:rsidR="00586F3F" w:rsidRPr="00586F3F" w:rsidRDefault="00586F3F" w:rsidP="006973ED">
            <w:pPr>
              <w:tabs>
                <w:tab w:val="left" w:pos="1530"/>
              </w:tabs>
              <w:spacing w:before="12" w:line="271" w:lineRule="auto"/>
              <w:ind w:right="165"/>
              <w:rPr>
                <w:color w:val="002060"/>
                <w:w w:val="105"/>
                <w:sz w:val="24"/>
              </w:rPr>
            </w:pPr>
          </w:p>
        </w:tc>
        <w:tc>
          <w:tcPr>
            <w:tcW w:w="9348" w:type="dxa"/>
          </w:tcPr>
          <w:p w14:paraId="60F115A1" w14:textId="77777777" w:rsidR="00586F3F" w:rsidRDefault="00586F3F" w:rsidP="006973ED">
            <w:pPr>
              <w:spacing w:before="12" w:line="271" w:lineRule="auto"/>
              <w:rPr>
                <w:color w:val="002060"/>
                <w:w w:val="105"/>
                <w:sz w:val="24"/>
              </w:rPr>
            </w:pPr>
            <w:r w:rsidRPr="00586F3F">
              <w:rPr>
                <w:color w:val="002060"/>
                <w:w w:val="105"/>
                <w:sz w:val="24"/>
              </w:rPr>
              <w:t>The Texas Society of Health-System Pharmacists is accredited by the Accreditation Council for Pharmacy Education as a provider of continuing pharmacy education. These continuing professional education programs may provide up to 6.0 contact hours (0.6 CEUs) of continuing pharmacy education.</w:t>
            </w:r>
          </w:p>
          <w:p w14:paraId="1BD7BC60" w14:textId="77777777" w:rsidR="00586F3F" w:rsidRPr="00586F3F" w:rsidRDefault="00586F3F" w:rsidP="006973ED">
            <w:pPr>
              <w:spacing w:before="12" w:line="271" w:lineRule="auto"/>
              <w:rPr>
                <w:color w:val="002060"/>
                <w:w w:val="105"/>
                <w:sz w:val="24"/>
              </w:rPr>
            </w:pPr>
          </w:p>
          <w:p w14:paraId="3E627528" w14:textId="77777777" w:rsidR="00586F3F" w:rsidRPr="00586F3F" w:rsidRDefault="00586F3F" w:rsidP="00586F3F">
            <w:pPr>
              <w:pStyle w:val="ListParagraph"/>
              <w:numPr>
                <w:ilvl w:val="0"/>
                <w:numId w:val="1"/>
              </w:numPr>
              <w:spacing w:before="12" w:line="271" w:lineRule="auto"/>
              <w:rPr>
                <w:color w:val="002060"/>
                <w:w w:val="105"/>
                <w:sz w:val="24"/>
              </w:rPr>
            </w:pPr>
            <w:proofErr w:type="gramStart"/>
            <w:r w:rsidRPr="00586F3F">
              <w:rPr>
                <w:color w:val="002060"/>
                <w:w w:val="105"/>
                <w:sz w:val="24"/>
              </w:rPr>
              <w:t>In order to</w:t>
            </w:r>
            <w:proofErr w:type="gramEnd"/>
            <w:r w:rsidRPr="00586F3F">
              <w:rPr>
                <w:color w:val="002060"/>
                <w:w w:val="105"/>
                <w:sz w:val="24"/>
              </w:rPr>
              <w:t xml:space="preserve"> receive credit for participation in this live educational session, you must claim your credit via the TSHP Education Portal (</w:t>
            </w:r>
            <w:hyperlink r:id="rId8" w:history="1">
              <w:r w:rsidRPr="00E51848">
                <w:rPr>
                  <w:rStyle w:val="Hyperlink"/>
                  <w:w w:val="105"/>
                  <w:sz w:val="24"/>
                </w:rPr>
                <w:t>http://tshp.wcea.education/</w:t>
              </w:r>
            </w:hyperlink>
            <w:r w:rsidRPr="00586F3F">
              <w:rPr>
                <w:color w:val="002060"/>
                <w:w w:val="105"/>
                <w:sz w:val="24"/>
              </w:rPr>
              <w:t xml:space="preserve">) no later than </w:t>
            </w:r>
            <w:r w:rsidRPr="00586F3F">
              <w:rPr>
                <w:b/>
                <w:color w:val="002060"/>
                <w:w w:val="105"/>
                <w:sz w:val="24"/>
              </w:rPr>
              <w:t>Tuesday, December 10, 2019</w:t>
            </w:r>
          </w:p>
          <w:p w14:paraId="623567E8" w14:textId="77777777" w:rsidR="00586F3F" w:rsidRPr="00586F3F" w:rsidRDefault="00586F3F" w:rsidP="00586F3F">
            <w:pPr>
              <w:pStyle w:val="ListParagraph"/>
              <w:numPr>
                <w:ilvl w:val="0"/>
                <w:numId w:val="1"/>
              </w:numPr>
              <w:spacing w:before="12" w:line="271" w:lineRule="auto"/>
              <w:rPr>
                <w:color w:val="002060"/>
                <w:w w:val="105"/>
                <w:sz w:val="24"/>
              </w:rPr>
            </w:pPr>
            <w:r w:rsidRPr="00586F3F">
              <w:rPr>
                <w:color w:val="002060"/>
                <w:w w:val="105"/>
                <w:sz w:val="24"/>
              </w:rPr>
              <w:t>A live event “secret code” will be provided during the session. You must retain this code and the session Universal Activity Number (UAN) to claim your credit.</w:t>
            </w:r>
          </w:p>
          <w:p w14:paraId="35E00A18" w14:textId="77777777" w:rsidR="00586F3F" w:rsidRPr="00586F3F" w:rsidRDefault="00586F3F" w:rsidP="00586F3F">
            <w:pPr>
              <w:pStyle w:val="ListParagraph"/>
              <w:numPr>
                <w:ilvl w:val="0"/>
                <w:numId w:val="1"/>
              </w:numPr>
              <w:spacing w:before="12" w:line="271" w:lineRule="auto"/>
              <w:rPr>
                <w:color w:val="002060"/>
                <w:w w:val="105"/>
                <w:sz w:val="24"/>
              </w:rPr>
            </w:pPr>
            <w:r w:rsidRPr="00586F3F">
              <w:rPr>
                <w:color w:val="002060"/>
                <w:w w:val="105"/>
                <w:sz w:val="24"/>
              </w:rPr>
              <w:t>A session evaluation must be completed through the online portal for credit to be issued.</w:t>
            </w:r>
          </w:p>
          <w:p w14:paraId="6EF01A40" w14:textId="77777777" w:rsidR="00586F3F" w:rsidRPr="00586F3F" w:rsidRDefault="00586F3F" w:rsidP="00586F3F">
            <w:pPr>
              <w:pStyle w:val="ListParagraph"/>
              <w:numPr>
                <w:ilvl w:val="0"/>
                <w:numId w:val="1"/>
              </w:numPr>
              <w:spacing w:before="12" w:line="271" w:lineRule="auto"/>
              <w:rPr>
                <w:color w:val="002060"/>
                <w:w w:val="105"/>
                <w:sz w:val="24"/>
              </w:rPr>
            </w:pPr>
            <w:r w:rsidRPr="00586F3F">
              <w:rPr>
                <w:color w:val="002060"/>
                <w:w w:val="105"/>
                <w:sz w:val="24"/>
              </w:rPr>
              <w:t>Access to an Internet enabled computer is required.</w:t>
            </w:r>
          </w:p>
          <w:p w14:paraId="0C2BF9CC" w14:textId="77777777" w:rsidR="00586F3F" w:rsidRPr="00586F3F" w:rsidRDefault="00586F3F" w:rsidP="00586F3F">
            <w:pPr>
              <w:pStyle w:val="ListParagraph"/>
              <w:numPr>
                <w:ilvl w:val="0"/>
                <w:numId w:val="1"/>
              </w:numPr>
              <w:spacing w:before="12" w:line="271" w:lineRule="auto"/>
              <w:rPr>
                <w:color w:val="002060"/>
                <w:w w:val="105"/>
                <w:sz w:val="24"/>
              </w:rPr>
            </w:pPr>
            <w:r w:rsidRPr="00586F3F">
              <w:rPr>
                <w:color w:val="002060"/>
                <w:w w:val="105"/>
                <w:sz w:val="24"/>
              </w:rPr>
              <w:t xml:space="preserve">Accurate NABP profile information is required for successful credit submission, visit </w:t>
            </w:r>
            <w:hyperlink r:id="rId9" w:history="1">
              <w:r w:rsidRPr="00586F3F">
                <w:rPr>
                  <w:rStyle w:val="Hyperlink"/>
                  <w:color w:val="002060"/>
                  <w:w w:val="105"/>
                  <w:sz w:val="24"/>
                </w:rPr>
                <w:t>www.nabp.net</w:t>
              </w:r>
            </w:hyperlink>
            <w:r w:rsidRPr="00586F3F">
              <w:rPr>
                <w:color w:val="002060"/>
                <w:w w:val="105"/>
                <w:sz w:val="24"/>
              </w:rPr>
              <w:t xml:space="preserve"> to learn more or obtain your NABP </w:t>
            </w:r>
            <w:proofErr w:type="spellStart"/>
            <w:r w:rsidRPr="00586F3F">
              <w:rPr>
                <w:color w:val="002060"/>
                <w:w w:val="105"/>
                <w:sz w:val="24"/>
              </w:rPr>
              <w:t>ePID</w:t>
            </w:r>
            <w:proofErr w:type="spellEnd"/>
            <w:r w:rsidRPr="00586F3F">
              <w:rPr>
                <w:color w:val="002060"/>
                <w:w w:val="105"/>
                <w:sz w:val="24"/>
              </w:rPr>
              <w:t>.</w:t>
            </w:r>
          </w:p>
          <w:p w14:paraId="0E1AB3FF" w14:textId="77777777" w:rsidR="00586F3F" w:rsidRDefault="00586F3F" w:rsidP="00586F3F">
            <w:pPr>
              <w:pStyle w:val="ListParagraph"/>
              <w:numPr>
                <w:ilvl w:val="0"/>
                <w:numId w:val="1"/>
              </w:numPr>
              <w:spacing w:before="12" w:line="271" w:lineRule="auto"/>
              <w:rPr>
                <w:color w:val="002060"/>
                <w:w w:val="105"/>
                <w:sz w:val="24"/>
              </w:rPr>
            </w:pPr>
            <w:r w:rsidRPr="00586F3F">
              <w:rPr>
                <w:color w:val="002060"/>
                <w:w w:val="105"/>
                <w:sz w:val="24"/>
              </w:rPr>
              <w:t xml:space="preserve">It is the responsibility of the participant to ensure credit has been successfully transferred to their NABP profiles. TSHP is not responsible for loss of credit to participants that did not ensure credit issuance through their NABP profiles by </w:t>
            </w:r>
            <w:r w:rsidRPr="00586F3F">
              <w:rPr>
                <w:b/>
                <w:color w:val="002060"/>
                <w:w w:val="105"/>
                <w:sz w:val="24"/>
              </w:rPr>
              <w:t>Tuesday, December 10, 2019</w:t>
            </w:r>
            <w:r w:rsidRPr="00586F3F">
              <w:rPr>
                <w:color w:val="002060"/>
                <w:w w:val="105"/>
                <w:sz w:val="24"/>
              </w:rPr>
              <w:t xml:space="preserve">  </w:t>
            </w:r>
          </w:p>
          <w:p w14:paraId="3177E98C" w14:textId="77777777" w:rsidR="00586F3F" w:rsidRPr="00586F3F" w:rsidRDefault="00586F3F" w:rsidP="00586F3F">
            <w:pPr>
              <w:pStyle w:val="ListParagraph"/>
              <w:spacing w:before="12" w:line="271" w:lineRule="auto"/>
              <w:ind w:left="720" w:firstLine="0"/>
              <w:rPr>
                <w:color w:val="002060"/>
                <w:w w:val="105"/>
                <w:sz w:val="24"/>
              </w:rPr>
            </w:pPr>
          </w:p>
          <w:p w14:paraId="60476444" w14:textId="77777777" w:rsidR="00586F3F" w:rsidRPr="00586F3F" w:rsidRDefault="00586F3F" w:rsidP="006973ED">
            <w:pPr>
              <w:spacing w:before="12" w:line="271" w:lineRule="auto"/>
              <w:rPr>
                <w:color w:val="002060"/>
                <w:w w:val="105"/>
                <w:sz w:val="24"/>
              </w:rPr>
            </w:pPr>
            <w:r w:rsidRPr="00586F3F">
              <w:rPr>
                <w:color w:val="002060"/>
                <w:w w:val="105"/>
                <w:sz w:val="24"/>
              </w:rPr>
              <w:t xml:space="preserve">Speaker Disclosure statements: All speakers included in the activities listed have indicated that they do not have conflicts of interest, nor do they have financial relationships with a commercial interest related to their respective presentation. </w:t>
            </w:r>
            <w:r w:rsidRPr="00586F3F">
              <w:rPr>
                <w:noProof/>
                <w:color w:val="002060"/>
                <w:w w:val="105"/>
                <w:sz w:val="24"/>
              </w:rPr>
              <w:t xml:space="preserve">                                                                                                                                                                                                                                </w:t>
            </w:r>
          </w:p>
        </w:tc>
      </w:tr>
    </w:tbl>
    <w:p w14:paraId="4BAEF4B0" w14:textId="77777777" w:rsidR="007D500E" w:rsidRDefault="007D500E"/>
    <w:sectPr w:rsidR="007D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D1912"/>
    <w:multiLevelType w:val="hybridMultilevel"/>
    <w:tmpl w:val="06D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3F"/>
    <w:rsid w:val="00586F3F"/>
    <w:rsid w:val="007D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6197"/>
  <w15:chartTrackingRefBased/>
  <w15:docId w15:val="{35EA8503-1C88-4F28-B975-4DB7D989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86F3F"/>
    <w:pPr>
      <w:widowControl w:val="0"/>
      <w:autoSpaceDE w:val="0"/>
      <w:autoSpaceDN w:val="0"/>
      <w:spacing w:after="0" w:line="240" w:lineRule="auto"/>
    </w:pPr>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6F3F"/>
    <w:pPr>
      <w:spacing w:before="7"/>
      <w:ind w:left="665" w:hanging="360"/>
    </w:pPr>
  </w:style>
  <w:style w:type="table" w:styleId="TableGrid">
    <w:name w:val="Table Grid"/>
    <w:basedOn w:val="TableNormal"/>
    <w:uiPriority w:val="39"/>
    <w:rsid w:val="00586F3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F3F"/>
    <w:rPr>
      <w:color w:val="0563C1" w:themeColor="hyperlink"/>
      <w:u w:val="single"/>
    </w:rPr>
  </w:style>
  <w:style w:type="character" w:styleId="UnresolvedMention">
    <w:name w:val="Unresolved Mention"/>
    <w:basedOn w:val="DefaultParagraphFont"/>
    <w:uiPriority w:val="99"/>
    <w:semiHidden/>
    <w:unhideWhenUsed/>
    <w:rsid w:val="00586F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hp.wcea.edu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b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6A10EC59F114286390936D91C6FBC" ma:contentTypeVersion="10" ma:contentTypeDescription="Create a new document." ma:contentTypeScope="" ma:versionID="b89af94af0f17865311b864cf1c7e036">
  <xsd:schema xmlns:xsd="http://www.w3.org/2001/XMLSchema" xmlns:xs="http://www.w3.org/2001/XMLSchema" xmlns:p="http://schemas.microsoft.com/office/2006/metadata/properties" xmlns:ns3="e3b9e059-ba80-4d78-b305-afe9f418d1fa" targetNamespace="http://schemas.microsoft.com/office/2006/metadata/properties" ma:root="true" ma:fieldsID="c582fe731e85c037be6c09170be9614b" ns3:_="">
    <xsd:import namespace="e3b9e059-ba80-4d78-b305-afe9f418d1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9e059-ba80-4d78-b305-afe9f418d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5FE75-5719-4112-A9AD-B73F3E5E7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9e059-ba80-4d78-b305-afe9f418d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1AB1C-9D96-4C54-96B8-F12A640AE438}">
  <ds:schemaRefs>
    <ds:schemaRef ds:uri="http://schemas.microsoft.com/sharepoint/v3/contenttype/forms"/>
  </ds:schemaRefs>
</ds:datastoreItem>
</file>

<file path=customXml/itemProps3.xml><?xml version="1.0" encoding="utf-8"?>
<ds:datastoreItem xmlns:ds="http://schemas.openxmlformats.org/officeDocument/2006/customXml" ds:itemID="{7ADB6B04-7E42-4DA9-8E13-B5889D499666}">
  <ds:schemaRefs>
    <ds:schemaRef ds:uri="http://purl.org/dc/terms/"/>
    <ds:schemaRef ds:uri="http://schemas.openxmlformats.org/package/2006/metadata/core-properties"/>
    <ds:schemaRef ds:uri="e3b9e059-ba80-4d78-b305-afe9f418d1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Denise</dc:creator>
  <cp:keywords/>
  <dc:description/>
  <cp:lastModifiedBy>Kelley, Denise</cp:lastModifiedBy>
  <cp:revision>1</cp:revision>
  <dcterms:created xsi:type="dcterms:W3CDTF">2019-10-18T18:43:00Z</dcterms:created>
  <dcterms:modified xsi:type="dcterms:W3CDTF">2019-10-18T18:47:00Z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0x010100D656A10EC59F114286390936D91C6FBC</vt:lpwstr>
  </property>
</Properties>
</file>